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p>
    <w:p>
      <w:pPr>
        <w:spacing w:after="120" w:before="0"/>
        <w:jc w:val="center"/>
      </w:pPr>
      <w:r>
        <w:rPr>
          <w:rFonts w:ascii="Arial" w:cs="Arial" w:eastAsia="Arial" w:hAnsi="Arial"/>
          <w:b/>
          <w:bCs/>
          <w:color w:val="1E3A5F"/>
          <w:sz w:val="72"/>
          <w:szCs w:val="72"/>
        </w:rPr>
        <w:t xml:space="preserve">OPENJUDGMENT</w:t>
      </w:r>
    </w:p>
    <w:p>
      <w:pPr>
        <w:spacing w:after="480" w:before="0"/>
        <w:jc w:val="center"/>
      </w:pPr>
      <w:r>
        <w:rPr>
          <w:rFonts w:ascii="Arial" w:cs="Arial" w:eastAsia="Arial" w:hAnsi="Arial"/>
          <w:i/>
          <w:iCs/>
          <w:color w:val="2E6DAD"/>
          <w:sz w:val="36"/>
          <w:szCs w:val="36"/>
        </w:rPr>
        <w:t xml:space="preserve">The Internet of Expert Judgment</w:t>
      </w:r>
    </w:p>
    <w:p>
      <w:pPr>
        <w:pBdr>
          <w:top w:val="single" w:color="C8A951" w:sz="4" w:space="6"/>
          <w:bottom w:val="single" w:color="C8A951" w:sz="4" w:space="6"/>
        </w:pBdr>
        <w:spacing w:after="120" w:before="0"/>
        <w:jc w:val="center"/>
      </w:pPr>
      <w:r>
        <w:rPr>
          <w:rFonts w:ascii="Arial" w:cs="Arial" w:eastAsia="Arial" w:hAnsi="Arial"/>
          <w:i/>
          <w:iCs/>
          <w:color w:val="444444"/>
          <w:sz w:val="24"/>
          <w:szCs w:val="24"/>
        </w:rPr>
        <w:t xml:space="preserve">A Complete Vision: Architecture, Governance, Sustainability, and Path Forward</w:t>
      </w:r>
    </w:p>
    <w:p>
      <w:pPr>
        <w:spacing w:after="0" w:before="2400"/>
      </w:pPr>
    </w:p>
    <w:p>
      <w:pPr>
        <w:jc w:val="center"/>
      </w:pPr>
      <w:r>
        <w:rPr>
          <w:rFonts w:ascii="Arial" w:cs="Arial" w:eastAsia="Arial" w:hAnsi="Arial"/>
          <w:color w:val="888888"/>
          <w:sz w:val="20"/>
          <w:szCs w:val="20"/>
        </w:rPr>
        <w:t xml:space="preserve">Prepared for Internal Use  |  Draft Version 1.0  |  March 2026</w:t>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I. The Problem Worth Solving</w:t>
      </w:r>
    </w:p>
    <w:p>
      <w:pPr>
        <w:spacing w:after="80" w:before="80"/>
      </w:pPr>
      <w:r>
        <w:t xml:space="preserve"/>
      </w:r>
    </w:p>
    <w:p>
      <w:pPr>
        <w:spacing w:after="80" w:before="80"/>
      </w:pPr>
      <w:r>
        <w:rPr>
          <w:rFonts w:ascii="Arial" w:cs="Arial" w:eastAsia="Arial" w:hAnsi="Arial"/>
          <w:sz w:val="22"/>
          <w:szCs w:val="22"/>
        </w:rPr>
        <w:t xml:space="preserve">In every high-tech organization on earth, there are a small number of people who actually know how things work. Not theoretically. Not by procedure. In reality. They know why the system was built this way, what breaks under load, where the margins actually are, and what the procedure doesn't tell you when things go sideways.</w:t>
      </w:r>
    </w:p>
    <w:p>
      <w:pPr>
        <w:spacing w:after="80" w:before="80"/>
      </w:pPr>
      <w:r>
        <w:t xml:space="preserve"/>
      </w:r>
    </w:p>
    <w:p>
      <w:pPr>
        <w:spacing w:after="80" w:before="80"/>
      </w:pPr>
      <w:r>
        <w:rPr>
          <w:rFonts w:ascii="Arial" w:cs="Arial" w:eastAsia="Arial" w:hAnsi="Arial"/>
          <w:sz w:val="22"/>
          <w:szCs w:val="22"/>
        </w:rPr>
        <w:t xml:space="preserve">These people are not well compensated for this knowledge. Their employers capture most of the value. When they retire, the knowledge disappears. The next generation rebuilds it from scratch over decades. And the cycle continues.</w:t>
      </w:r>
    </w:p>
    <w:p>
      <w:pPr>
        <w:spacing w:after="80" w:before="80"/>
      </w:pPr>
      <w:r>
        <w:t xml:space="preserve"/>
      </w:r>
    </w:p>
    <w:p>
      <w:pPr>
        <w:spacing w:after="80" w:before="80"/>
      </w:pPr>
      <w:r>
        <w:rPr>
          <w:rFonts w:ascii="Arial" w:cs="Arial" w:eastAsia="Arial" w:hAnsi="Arial"/>
          <w:sz w:val="22"/>
          <w:szCs w:val="22"/>
        </w:rPr>
        <w:t xml:space="preserve">Meanwhile, the tools to build physical things have never been more available. You can download a CNC design, a robotics framework, a sensor schematic. But 91% of maker projects fail. Not for lack of tools. For lack of judgment. The files exist. The expertise to use them safely and effectively does not.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problem is not that high-tech knowledge doesn't exist. The problem is that it is not transferable at scale. It lives inside individual people, inside proprietary organizations, and it dies when they leave.</w:t>
            </w:r>
          </w:p>
        </w:tc>
      </w:tr>
    </w:tbl>
    <w:p>
      <w:pPr>
        <w:spacing w:after="80" w:before="80"/>
      </w:pPr>
      <w:r>
        <w:t xml:space="preserve"/>
      </w:r>
    </w:p>
    <w:p>
      <w:pPr>
        <w:spacing w:after="80" w:before="80"/>
      </w:pPr>
      <w:r>
        <w:rPr>
          <w:rFonts w:ascii="Arial" w:cs="Arial" w:eastAsia="Arial" w:hAnsi="Arial"/>
          <w:sz w:val="22"/>
          <w:szCs w:val="22"/>
        </w:rPr>
        <w:t xml:space="preserve">This is the problem OpenJudgment exists to solve. Not as a startup. Not as a product. As infrastructure. The same way the internet solved the problem of information transfer at scale, OpenJudgment is an attempt to solve the problem of expertise transfer at scale.</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What Has Been Tried and Why It Failed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Approach</w:t>
            </w:r>
          </w:p>
        </w:tc>
        <w:tc>
          <w:tcPr>
            <w:tcW w:type="dxa" w:w="6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color w:val="FFFFFF"/>
                <w:sz w:val="20"/>
                <w:szCs w:val="20"/>
              </w:rPr>
              <w:t xml:space="preserve">Why It Failed</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Expert systems (1980s-90s)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Required complete formal knowledge capture. Experts couldn't articulate rules. Systems were brittle outside narrow domains.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Corporate knowledge bases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Captured procedural knowledge, not judgment. Nobody maintained them. Became outdated.</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Stack Overflow / forums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Works for software because contribution effort is low. Doesn't scale to physical systems or high-stakes domains.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Wikipedia model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Relies on altruistic contribution of low-effort content. Engineering judgment requires high effort. Volunteer fatigue kills quality.</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Enterprise PLM/ALM tools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Capture specifications and compliance chains. Do not capture why decisions were made or how systems actually behave in operation.</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Apprenticeship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The right answer, too slow. 3-7 years per expert. Doesn't survive organizational turnover or retirement waves.</w:t>
            </w:r>
          </w:p>
        </w:tc>
      </w:tr>
    </w:tbl>
    <w:p>
      <w:pPr>
        <w:spacing w:after="80" w:before="80"/>
      </w:pPr>
      <w:r>
        <w:t xml:space="preserve"/>
      </w:r>
    </w:p>
    <w:p>
      <w:pPr>
        <w:spacing w:after="80" w:before="80"/>
      </w:pPr>
      <w:r>
        <w:rPr>
          <w:rFonts w:ascii="Arial" w:cs="Arial" w:eastAsia="Arial" w:hAnsi="Arial"/>
          <w:sz w:val="22"/>
          <w:szCs w:val="22"/>
        </w:rPr>
        <w:t xml:space="preserve">The pattern across all failures is the same: they tried to capture knowledge through a separate, additional act of documentation. OpenJudgment's core insight is different. The contribution must be a byproduct of use, not a separate act.</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II. The Vision: What OpenJudgment Actually Is</w:t>
      </w:r>
    </w:p>
    <w:p>
      <w:pPr>
        <w:spacing w:after="80" w:before="80"/>
      </w:pPr>
      <w:r>
        <w:t xml:space="preserve"/>
      </w:r>
    </w:p>
    <w:p>
      <w:pPr>
        <w:spacing w:after="80" w:before="80"/>
      </w:pPr>
      <w:r>
        <w:rPr>
          <w:rFonts w:ascii="Arial" w:cs="Arial" w:eastAsia="Arial" w:hAnsi="Arial"/>
          <w:sz w:val="22"/>
          <w:szCs w:val="22"/>
        </w:rPr>
        <w:t xml:space="preserve">OpenJudgment is not a company. It is not a product. It is a protocol — an open standard for capturing, validating, storing, and distributing expert judgment in structured, machine-readable form. The same way HTTP is a protocol that anyone can implement and nobody owns, the OpenJudgment protocol is a specification that anyone can implement, extend, and use without permission or payment.</w:t>
      </w:r>
    </w:p>
    <w:p>
      <w:pPr>
        <w:spacing w:after="80" w:before="80"/>
      </w:pPr>
      <w:r>
        <w:t xml:space="preserve"/>
      </w:r>
    </w:p>
    <w:p>
      <w:pPr>
        <w:spacing w:after="80" w:before="80"/>
      </w:pPr>
      <w:r>
        <w:rPr>
          <w:rFonts w:ascii="Arial" w:cs="Arial" w:eastAsia="Arial" w:hAnsi="Arial"/>
          <w:sz w:val="22"/>
          <w:szCs w:val="22"/>
        </w:rPr>
        <w:t xml:space="preserve">The closest analogy is not Wikipedia or Stack Overflow. It is the internet protocols themselves — TCP/IP, HTTP, DNS. Infrastructure that nobody owns, everyone benefits from, and which sustains itself through the distributed self-interest of the parties who depend on it.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vision: Any engineer, anywhere in the world, working on any physical system, can access the accumulated operational judgment of experts who worked on similar systems before them. Not textbook knowledge. Not procedures. The judgment that lives in the gap between what the manual says and what actually happens.</w:t>
            </w:r>
          </w:p>
        </w:tc>
      </w:tr>
    </w:tbl>
    <w:p>
      <w:pPr>
        <w:spacing w:after="80" w:before="80"/>
      </w:pPr>
      <w:r>
        <w:t xml:space="preserve"/>
      </w:r>
    </w:p>
    <w:p>
      <w:pPr>
        <w:pStyle w:val="Heading2"/>
        <w:spacing w:after="120" w:before="300"/>
      </w:pPr>
      <w:r>
        <w:rPr>
          <w:rFonts w:ascii="Arial" w:cs="Arial" w:eastAsia="Arial" w:hAnsi="Arial"/>
          <w:b/>
          <w:bCs/>
          <w:color w:val="2E6DAD"/>
          <w:sz w:val="28"/>
          <w:szCs w:val="28"/>
        </w:rPr>
        <w:t xml:space="preserve">The Three Layers of What Gets Captured</w:t>
      </w:r>
    </w:p>
    <w:p>
      <w:pPr>
        <w:spacing w:after="80" w:before="80"/>
      </w:pPr>
      <w:r>
        <w:t xml:space="preserve"/>
      </w:r>
    </w:p>
    <w:p>
      <w:pPr>
        <w:spacing w:after="80" w:before="80"/>
      </w:pPr>
      <w:r>
        <w:rPr>
          <w:rFonts w:ascii="Arial" w:cs="Arial" w:eastAsia="Arial" w:hAnsi="Arial"/>
          <w:sz w:val="22"/>
          <w:szCs w:val="22"/>
        </w:rPr>
        <w:t xml:space="preserve">The protocol defines three fundamental artifact types. Each captures a different dimension of expert knowledge that current documentation systems miss entirely.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Artifact Type</w:t>
            </w:r>
          </w:p>
        </w:tc>
        <w:tc>
          <w:tcPr>
            <w:tcW w:type="dxa" w:w="6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color w:val="FFFFFF"/>
                <w:sz w:val="20"/>
                <w:szCs w:val="20"/>
              </w:rPr>
              <w:t xml:space="preserve">What It Captures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Operational Intuition Artifact (OIA)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How systems actually behave in operation. What degradation looks, sounds, and feels like before it becomes failure. When to intervene vs. monitor. The knowledge operators develop over years that is never written down.</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Design Intelligence Artifact (DIA)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Why systems are designed the way they are. Which constraints are fundamental physics and which are conservative defaults. What can be safely modified and what requires full revalidation. The engineering judgment that retires with senior engineers.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Innovation Boundary Artifact (IBA)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Where the margins for safe innovation actually are. Which modifications are genuinely safe vs. theoretically possible but operationally dangerous. How to test new configurations without catastrophic failure. The knowledge that separates expert innovators from projects that fail.</w:t>
            </w:r>
          </w:p>
        </w:tc>
      </w:tr>
    </w:tbl>
    <w:p>
      <w:pPr>
        <w:spacing w:after="80" w:before="80"/>
      </w:pPr>
      <w:r>
        <w:t xml:space="preserve"/>
      </w:r>
    </w:p>
    <w:p>
      <w:pPr>
        <w:spacing w:after="80" w:before="80"/>
      </w:pPr>
      <w:r>
        <w:rPr>
          <w:rFonts w:ascii="Arial" w:cs="Arial" w:eastAsia="Arial" w:hAnsi="Arial"/>
          <w:sz w:val="22"/>
          <w:szCs w:val="22"/>
        </w:rPr>
        <w:t xml:space="preserve">Each artifact type is structured data, not narrative text. This is the critical distinction. An OIA does not say 'the bearing sounds bad when it is failing.' It specifies the normal acoustic signature, the failure signature with frequency and amplitude, the physical mechanism, the decision boundary in measurable units, and the evidence base behind that boundary.</w:t>
      </w:r>
    </w:p>
    <w:p>
      <w:pPr>
        <w:spacing w:after="80" w:before="80"/>
      </w:pPr>
      <w:r>
        <w:t xml:space="preserve"/>
      </w:r>
    </w:p>
    <w:p>
      <w:pPr>
        <w:spacing w:after="80" w:before="80"/>
      </w:pPr>
      <w:r>
        <w:rPr>
          <w:rFonts w:ascii="Arial" w:cs="Arial" w:eastAsia="Arial" w:hAnsi="Arial"/>
          <w:sz w:val="22"/>
          <w:szCs w:val="22"/>
        </w:rPr>
        <w:t xml:space="preserve">This structure enables machine-readable pattern matching, quantified decision support, automated validation against new evidence, and integration with change analysis engines — none of which is possible with narrative documentation.</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III. Technical Architecture</w:t>
      </w:r>
    </w:p>
    <w:p>
      <w:pPr>
        <w:spacing w:after="80" w:before="80"/>
      </w:pPr>
      <w:r>
        <w:t xml:space="preserve"/>
      </w:r>
    </w:p>
    <w:p>
      <w:pPr>
        <w:spacing w:after="80" w:before="80"/>
      </w:pPr>
      <w:r>
        <w:rPr>
          <w:rFonts w:ascii="Arial" w:cs="Arial" w:eastAsia="Arial" w:hAnsi="Arial"/>
          <w:sz w:val="22"/>
          <w:szCs w:val="22"/>
        </w:rPr>
        <w:t xml:space="preserve">OpenJudgment has three distinct layers. Understanding each and how they interact is essential to understanding why this approach is different from everything that has been tried before.</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Layer 1: The Protocol (The Standard)</w:t>
      </w:r>
    </w:p>
    <w:p>
      <w:pPr>
        <w:spacing w:after="80" w:before="80"/>
      </w:pPr>
      <w:r>
        <w:t xml:space="preserve"/>
      </w:r>
    </w:p>
    <w:p>
      <w:pPr>
        <w:spacing w:after="80" w:before="80"/>
      </w:pPr>
      <w:r>
        <w:rPr>
          <w:rFonts w:ascii="Arial" w:cs="Arial" w:eastAsia="Arial" w:hAnsi="Arial"/>
          <w:sz w:val="22"/>
          <w:szCs w:val="22"/>
        </w:rPr>
        <w:t xml:space="preserve">The protocol is the specification itself — the schema definitions for OIAs, DIAs, and IBAs, the validation rules, the evidence logging format, and the contribution workflow. This layer is released under CC0 public domain. No ownership, no license fees, no permission required. Anyone can implement it.</w:t>
      </w:r>
    </w:p>
    <w:p>
      <w:pPr>
        <w:spacing w:after="80" w:before="80"/>
      </w:pPr>
      <w:r>
        <w:t xml:space="preserve"/>
      </w:r>
    </w:p>
    <w:p>
      <w:pPr>
        <w:spacing w:after="80" w:before="80"/>
      </w:pPr>
      <w:r>
        <w:rPr>
          <w:rFonts w:ascii="Arial" w:cs="Arial" w:eastAsia="Arial" w:hAnsi="Arial"/>
          <w:sz w:val="22"/>
          <w:szCs w:val="22"/>
        </w:rPr>
        <w:t xml:space="preserve">The protocol specifies exactly how an OIA is structured: the normal state field, the deviation signatures with measurable parameters, the physical causal mechanism, the decision boundary in objective units, the evidence log format, and the confidence calculation methodology. It is precise enough that two independent implementations produce compatible artifacts.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Design principle: The protocol is a specification, not an application. It defines the format, not the implementation. This is why it can be owned by nobody and maintained by everyone — the same way the HTML specification is maintained by the W3C but owned by no single entity.</w:t>
            </w:r>
          </w:p>
        </w:tc>
      </w:tr>
    </w:tbl>
    <w:p>
      <w:pPr>
        <w:spacing w:after="80" w:before="80"/>
      </w:pPr>
      <w:r>
        <w:t xml:space="preserve"/>
      </w:r>
    </w:p>
    <w:p>
      <w:pPr>
        <w:pStyle w:val="Heading2"/>
        <w:spacing w:after="120" w:before="300"/>
      </w:pPr>
      <w:r>
        <w:rPr>
          <w:rFonts w:ascii="Arial" w:cs="Arial" w:eastAsia="Arial" w:hAnsi="Arial"/>
          <w:b/>
          <w:bCs/>
          <w:color w:val="2E6DAD"/>
          <w:sz w:val="28"/>
          <w:szCs w:val="28"/>
        </w:rPr>
        <w:t xml:space="preserve">Layer 2: The Commons (The Data)</w:t>
      </w:r>
    </w:p>
    <w:p>
      <w:pPr>
        <w:spacing w:after="80" w:before="80"/>
      </w:pPr>
      <w:r>
        <w:t xml:space="preserve"/>
      </w:r>
    </w:p>
    <w:p>
      <w:pPr>
        <w:spacing w:after="80" w:before="80"/>
      </w:pPr>
      <w:r>
        <w:rPr>
          <w:rFonts w:ascii="Arial" w:cs="Arial" w:eastAsia="Arial" w:hAnsi="Arial"/>
          <w:sz w:val="22"/>
          <w:szCs w:val="22"/>
        </w:rPr>
        <w:t xml:space="preserve">The commons is the actual repository of artifacts — OIAs, DIAs, IBAs submitted by contributors worldwide. This layer is also fully open. All artifact content is licensed CC BY-SA, meaning anyone can use it, build on it, and distribute it, as long as derivatives remain open under the same terms.</w:t>
      </w:r>
    </w:p>
    <w:p>
      <w:pPr>
        <w:spacing w:after="80" w:before="80"/>
      </w:pPr>
      <w:r>
        <w:t xml:space="preserve"/>
      </w:r>
    </w:p>
    <w:p>
      <w:pPr>
        <w:spacing w:after="80" w:before="80"/>
      </w:pPr>
      <w:r>
        <w:rPr>
          <w:rFonts w:ascii="Arial" w:cs="Arial" w:eastAsia="Arial" w:hAnsi="Arial"/>
          <w:sz w:val="22"/>
          <w:szCs w:val="22"/>
        </w:rPr>
        <w:t xml:space="preserve">The commons is stored in a distributed, federated architecture. There is no single server that can be shut down, purchased, or restricted. Any organization can run a mirror. Any individual can maintain a local copy. The data structure is a content-addressed graph — meaning artifacts are identified by cryptographic hash of their content, not by a central registry. This makes the commons inherently resistant to capture or censorship.</w:t>
      </w:r>
    </w:p>
    <w:p>
      <w:pPr>
        <w:spacing w:after="80" w:before="80"/>
      </w:pPr>
      <w:r>
        <w:t xml:space="preserve"/>
      </w:r>
    </w:p>
    <w:p>
      <w:pPr>
        <w:spacing w:after="80" w:before="80"/>
      </w:pPr>
      <w:r>
        <w:rPr>
          <w:rFonts w:ascii="Arial" w:cs="Arial" w:eastAsia="Arial" w:hAnsi="Arial"/>
          <w:sz w:val="22"/>
          <w:szCs w:val="22"/>
        </w:rPr>
        <w:t xml:space="preserve">The Traceability Shockwave Engine (TSE) operates on the commons data. When an artifact is linked to a component in a system graph, TSE can propagate change impact analysis through the dependency network — showing how a modification here affects everything connected to it, drawing on the OIAs and DIAs for each affected component. This is the integration between the judgment layer and the change analysis layer.</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Layer 3: The Validation Engine (The Quality Mechanism)</w:t>
      </w:r>
    </w:p>
    <w:p>
      <w:pPr>
        <w:spacing w:after="80" w:before="80"/>
      </w:pPr>
      <w:r>
        <w:t xml:space="preserve"/>
      </w:r>
    </w:p>
    <w:p>
      <w:pPr>
        <w:spacing w:after="80" w:before="80"/>
      </w:pPr>
      <w:r>
        <w:rPr>
          <w:rFonts w:ascii="Arial" w:cs="Arial" w:eastAsia="Arial" w:hAnsi="Arial"/>
          <w:sz w:val="22"/>
          <w:szCs w:val="22"/>
        </w:rPr>
        <w:t xml:space="preserve">The most critical architectural element is the evidence-based validation system. This is what makes OpenJudgment fundamentally different from Wikipedia and why quality can be maintained without central editorial control.</w:t>
      </w:r>
    </w:p>
    <w:p>
      <w:pPr>
        <w:spacing w:after="80" w:before="80"/>
      </w:pPr>
      <w:r>
        <w:t xml:space="preserve"/>
      </w:r>
    </w:p>
    <w:p>
      <w:pPr>
        <w:spacing w:after="80" w:before="80"/>
      </w:pPr>
      <w:r>
        <w:rPr>
          <w:rFonts w:ascii="Arial" w:cs="Arial" w:eastAsia="Arial" w:hAnsi="Arial"/>
          <w:sz w:val="22"/>
          <w:szCs w:val="22"/>
        </w:rPr>
        <w:t xml:space="preserve">Every time an artifact is used in the field and the user logs the outcome — success, false positive, or miss — the artifact's confidence score updates automatically. The score is not editorial judgment. It is a statistical measure of predictive accuracy across all logged uses.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Confidence Threshold</w:t>
            </w:r>
          </w:p>
        </w:tc>
        <w:tc>
          <w:tcPr>
            <w:tcW w:type="dxa" w:w="6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color w:val="FFFFFF"/>
                <w:sz w:val="20"/>
                <w:szCs w:val="20"/>
              </w:rPr>
              <w:t xml:space="preserve">Status and Meaning</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Below 60%</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Deprecated. Hidden from search. Archived for reference only.</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60-70%</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Provisional. Displayed with explicit caution warning. Minimum 10 uses required.</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70-85%</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Validated. Generally reliable. Displayed in standard search results.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85-95%</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Highly Validated. Well-proven across diverse contexts.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Above 95%</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Expert Certified. Exceptional reliability. Minimum 30 uses required.</w:t>
            </w:r>
          </w:p>
        </w:tc>
      </w:tr>
    </w:tbl>
    <w:p>
      <w:pPr>
        <w:spacing w:after="80" w:before="80"/>
      </w:pPr>
      <w:r>
        <w:t xml:space="preserve"/>
      </w:r>
    </w:p>
    <w:p>
      <w:pPr>
        <w:spacing w:after="80" w:before="80"/>
      </w:pPr>
      <w:r>
        <w:rPr>
          <w:rFonts w:ascii="Arial" w:cs="Arial" w:eastAsia="Arial" w:hAnsi="Arial"/>
          <w:sz w:val="22"/>
          <w:szCs w:val="22"/>
        </w:rPr>
        <w:t xml:space="preserve">This system means the commons is self-healing. Bad artifacts are demoted automatically as evidence accumulates. Good artifacts rise. The quality mechanism is built into the data structure itself, not dependent on volunteer editors or paid reviewers.</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IV. The Contribution Problem: An Honest Analysis</w:t>
      </w:r>
    </w:p>
    <w:p>
      <w:pPr>
        <w:spacing w:after="80" w:before="80"/>
      </w:pPr>
      <w:r>
        <w:t xml:space="preserve"/>
      </w:r>
    </w:p>
    <w:p>
      <w:pPr>
        <w:spacing w:after="80" w:before="80"/>
      </w:pPr>
      <w:r>
        <w:rPr>
          <w:rFonts w:ascii="Arial" w:cs="Arial" w:eastAsia="Arial" w:hAnsi="Arial"/>
          <w:sz w:val="22"/>
          <w:szCs w:val="22"/>
        </w:rPr>
        <w:t xml:space="preserve">This is the hardest problem and the one where previous analysis in this project has been most dishonest. The following is a clear-eyed accounting of what has been tried, what actually works, and what remains genuinely unsolved.</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What Doesn't Work (And Why We Kept Proposing It Anyway)</w:t>
      </w:r>
    </w:p>
    <w:p>
      <w:pPr>
        <w:spacing w:after="80" w:before="80"/>
      </w:pPr>
      <w:r>
        <w:t xml:space="preserve"/>
      </w:r>
    </w:p>
    <w:p>
      <w:pPr>
        <w:spacing w:after="80" w:before="80"/>
      </w:pPr>
      <w:r>
        <w:rPr>
          <w:rFonts w:ascii="Arial" w:cs="Arial" w:eastAsia="Arial" w:hAnsi="Arial"/>
          <w:sz w:val="22"/>
          <w:szCs w:val="22"/>
        </w:rPr>
        <w:t xml:space="preserve">Token economies, blockchain-based judgment credits, dividend-bearing contribution rewards — these were proposed multiple times in developing this concept. They are structurally circular: credits pay dividends only when the platform has revenue, revenue only comes when enterprises pay, enterprises only pay when the content is comprehensive, content is only comprehensive when experts contribute, experts only contribute when credits are worth something. This is not a chicken-and-egg problem. It is a circle with no external forcing function.</w:t>
      </w:r>
    </w:p>
    <w:p>
      <w:pPr>
        <w:spacing w:after="80" w:before="80"/>
      </w:pPr>
      <w:r>
        <w:t xml:space="preserve"/>
      </w:r>
    </w:p>
    <w:p>
      <w:pPr>
        <w:spacing w:after="80" w:before="80"/>
      </w:pPr>
      <w:r>
        <w:rPr>
          <w:rFonts w:ascii="Arial" w:cs="Arial" w:eastAsia="Arial" w:hAnsi="Arial"/>
          <w:sz w:val="22"/>
          <w:szCs w:val="22"/>
        </w:rPr>
        <w:t xml:space="preserve">The Red Hat model was also proposed repeatedly as a solution. Red Hat works because Linux already had millions of users when Red Hat hired its first contributor. The model works after the cold start problem is solved, not as a solution to it.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pattern in failed reasoning: when an idea runs into the cold start problem, the natural move is to find a model that appears to bridge the gap. That search produces frameworks that sound compelling but defer the hard problem rather than solving it. Every proposal must be tested against one question: what is the first contribution, and why does the first contributor contribute before there is any evidence the platform will succeed?</w:t>
            </w:r>
          </w:p>
        </w:tc>
      </w:tr>
    </w:tbl>
    <w:p>
      <w:pPr>
        <w:spacing w:after="80" w:before="80"/>
      </w:pPr>
      <w:r>
        <w:t xml:space="preserve"/>
      </w:r>
    </w:p>
    <w:p>
      <w:pPr>
        <w:pStyle w:val="Heading2"/>
        <w:spacing w:after="120" w:before="300"/>
      </w:pPr>
      <w:r>
        <w:rPr>
          <w:rFonts w:ascii="Arial" w:cs="Arial" w:eastAsia="Arial" w:hAnsi="Arial"/>
          <w:b/>
          <w:bCs/>
          <w:color w:val="2E6DAD"/>
          <w:sz w:val="28"/>
          <w:szCs w:val="28"/>
        </w:rPr>
        <w:t xml:space="preserve">What Actually Works: The Two Real Models</w:t>
      </w:r>
    </w:p>
    <w:p>
      <w:pPr>
        <w:spacing w:after="80" w:before="80"/>
      </w:pPr>
      <w:r>
        <w:t xml:space="preserve"/>
      </w:r>
    </w:p>
    <w:p>
      <w:pPr>
        <w:spacing w:after="80" w:before="80"/>
      </w:pPr>
      <w:r>
        <w:rPr>
          <w:rFonts w:ascii="Arial" w:cs="Arial" w:eastAsia="Arial" w:hAnsi="Arial"/>
          <w:sz w:val="22"/>
          <w:szCs w:val="22"/>
        </w:rPr>
        <w:t xml:space="preserve">Research on successful knowledge commons — Von Hippel (MIT), Benkler (Harvard), the empirical record of Linux, ArXiv, iFixit, and Wikipedia — points to exactly two mechanisms that produce sustained high-effort contribution.</w:t>
      </w:r>
    </w:p>
    <w:p>
      <w:pPr>
        <w:spacing w:after="80" w:before="80"/>
      </w:pPr>
      <w:r>
        <w:t xml:space="preserve"/>
      </w:r>
    </w:p>
    <w:p>
      <w:pPr>
        <w:spacing w:after="80" w:before="80"/>
      </w:pPr>
      <w:r>
        <w:rPr>
          <w:rFonts w:ascii="Arial" w:cs="Arial" w:eastAsia="Arial" w:hAnsi="Arial"/>
          <w:sz w:val="22"/>
          <w:szCs w:val="22"/>
        </w:rPr>
        <w:t xml:space="preserve">The first is that contribution is a byproduct of work someone is already doing. Linux kernel contributors are mostly employed by companies that need Linux to work. Their contribution is their job. ArXiv authors are already writing papers for academic credit. iFixit contributors are already repairing devices and documenting it for their own reference. In each case, the contribution platform provides a better way to do something the contributor was already doing.</w:t>
      </w:r>
    </w:p>
    <w:p>
      <w:pPr>
        <w:spacing w:after="80" w:before="80"/>
      </w:pPr>
      <w:r>
        <w:t xml:space="preserve"/>
      </w:r>
    </w:p>
    <w:p>
      <w:pPr>
        <w:spacing w:after="80" w:before="80"/>
      </w:pPr>
      <w:r>
        <w:rPr>
          <w:rFonts w:ascii="Arial" w:cs="Arial" w:eastAsia="Arial" w:hAnsi="Arial"/>
          <w:sz w:val="22"/>
          <w:szCs w:val="22"/>
        </w:rPr>
        <w:t xml:space="preserve">The second is direct payment. Substack, YouTube, Kaggle. Experts contribute because they are paid to, either by a direct revenue share or by an employer. There is no ambiguity about the incentive.</w:t>
      </w:r>
    </w:p>
    <w:p>
      <w:pPr>
        <w:spacing w:after="80" w:before="80"/>
      </w:pPr>
      <w:r>
        <w:t xml:space="preserve"/>
      </w:r>
    </w:p>
    <w:p>
      <w:pPr>
        <w:spacing w:after="80" w:before="80"/>
      </w:pPr>
      <w:r>
        <w:rPr>
          <w:rFonts w:ascii="Arial" w:cs="Arial" w:eastAsia="Arial" w:hAnsi="Arial"/>
          <w:sz w:val="22"/>
          <w:szCs w:val="22"/>
        </w:rPr>
        <w:t xml:space="preserve">OpenJudgment's contribution design must start from one of these two foundations. The question is which one is accessible at the start.</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Realistic Early Contribution Path</w:t>
      </w:r>
    </w:p>
    <w:p>
      <w:pPr>
        <w:spacing w:after="80" w:before="80"/>
      </w:pPr>
      <w:r>
        <w:t xml:space="preserve"/>
      </w:r>
    </w:p>
    <w:p>
      <w:pPr>
        <w:spacing w:after="80" w:before="80"/>
      </w:pPr>
      <w:r>
        <w:rPr>
          <w:rFonts w:ascii="Arial" w:cs="Arial" w:eastAsia="Arial" w:hAnsi="Arial"/>
          <w:sz w:val="22"/>
          <w:szCs w:val="22"/>
        </w:rPr>
        <w:t xml:space="preserve">The realistic early contributors are not corporate engineers donating proprietary knowledge. They are people who are already trying to transfer expert knowledge informally and failing. There are three communities where this dynamic currently exists.</w:t>
      </w:r>
    </w:p>
    <w:p>
      <w:pPr>
        <w:spacing w:after="80" w:before="80"/>
      </w:pPr>
      <w:r>
        <w:t xml:space="preserve"/>
      </w:r>
    </w:p>
    <w:p>
      <w:pPr>
        <w:spacing w:after="80" w:before="80"/>
      </w:pPr>
      <w:r>
        <w:rPr>
          <w:rFonts w:ascii="Arial" w:cs="Arial" w:eastAsia="Arial" w:hAnsi="Arial"/>
          <w:sz w:val="22"/>
          <w:szCs w:val="22"/>
        </w:rPr>
        <w:t xml:space="preserve">First: retiring engineers in critical infrastructure — nuclear, maritime, heavy manufacturing — who are watching their knowledge disappear and want to preserve it. These people have direct personal motivation. They do not need to be convinced the problem is real. They are living it. The barrier is that current tools make structured knowledge capture difficult and time-consuming. OpenJudgment must make it easier than what they currently do, which is nothing, or informal writing.</w:t>
      </w:r>
    </w:p>
    <w:p>
      <w:pPr>
        <w:spacing w:after="80" w:before="80"/>
      </w:pPr>
      <w:r>
        <w:t xml:space="preserve"/>
      </w:r>
    </w:p>
    <w:p>
      <w:pPr>
        <w:spacing w:after="80" w:before="80"/>
      </w:pPr>
      <w:r>
        <w:rPr>
          <w:rFonts w:ascii="Arial" w:cs="Arial" w:eastAsia="Arial" w:hAnsi="Arial"/>
          <w:sz w:val="22"/>
          <w:szCs w:val="22"/>
        </w:rPr>
        <w:t xml:space="preserve">Second: open source hardware communities — RepRap, ArduPilot, Open Source Ecology — who already share designs but have no judgment layer. These communities have existing contribution culture. Their projects fail at high rates because contributors have the schematics but not the operational knowledge. OpenJudgment offers them something they already want.</w:t>
      </w:r>
    </w:p>
    <w:p>
      <w:pPr>
        <w:spacing w:after="80" w:before="80"/>
      </w:pPr>
      <w:r>
        <w:t xml:space="preserve"/>
      </w:r>
    </w:p>
    <w:p>
      <w:pPr>
        <w:spacing w:after="80" w:before="80"/>
      </w:pPr>
      <w:r>
        <w:rPr>
          <w:rFonts w:ascii="Arial" w:cs="Arial" w:eastAsia="Arial" w:hAnsi="Arial"/>
          <w:sz w:val="22"/>
          <w:szCs w:val="22"/>
        </w:rPr>
        <w:t xml:space="preserve">Third: engineering educators who create laboratory exercises around real systems and need documented failure modes and operational boundaries for teaching. They have academic incentive structures that reward structured knowledge production.</w:t>
      </w:r>
    </w:p>
    <w:p>
      <w:pPr>
        <w:spacing w:after="80" w:before="80"/>
      </w:pPr>
      <w:r>
        <w:t xml:space="preserve"/>
      </w:r>
    </w:p>
    <w:p>
      <w:pPr>
        <w:spacing w:after="80" w:before="80"/>
      </w:pPr>
      <w:r>
        <w:rPr>
          <w:rFonts w:ascii="Arial" w:cs="Arial" w:eastAsia="Arial" w:hAnsi="Arial"/>
          <w:sz w:val="22"/>
          <w:szCs w:val="22"/>
        </w:rPr>
        <w:t xml:space="preserve">None of these groups requires payment to start. All of them have a direct reason to contribute that exists before the platform has traction. This is the entry point.</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V. Governance: How It Is Maintained Without Being Owned</w:t>
      </w:r>
    </w:p>
    <w:p>
      <w:pPr>
        <w:spacing w:after="80" w:before="80"/>
      </w:pPr>
      <w:r>
        <w:t xml:space="preserve"/>
      </w:r>
    </w:p>
    <w:p>
      <w:pPr>
        <w:spacing w:after="80" w:before="80"/>
      </w:pPr>
      <w:r>
        <w:rPr>
          <w:rFonts w:ascii="Arial" w:cs="Arial" w:eastAsia="Arial" w:hAnsi="Arial"/>
          <w:sz w:val="22"/>
          <w:szCs w:val="22"/>
        </w:rPr>
        <w:t xml:space="preserve">The governance question is where most open commons projects fail in the long run. Wikipedia has chronic governance crises. Linux Foundation has been accused of capturing the development agenda. Mozilla has structural tensions between its nonprofit mission and its commercial revenue. OpenJudgment needs a governance structure that can survive decades without being captured.</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Protocol Foundation Model</w:t>
      </w:r>
    </w:p>
    <w:p>
      <w:pPr>
        <w:spacing w:after="80" w:before="80"/>
      </w:pPr>
      <w:r>
        <w:t xml:space="preserve"/>
      </w:r>
    </w:p>
    <w:p>
      <w:pPr>
        <w:spacing w:after="80" w:before="80"/>
      </w:pPr>
      <w:r>
        <w:rPr>
          <w:rFonts w:ascii="Arial" w:cs="Arial" w:eastAsia="Arial" w:hAnsi="Arial"/>
          <w:sz w:val="22"/>
          <w:szCs w:val="22"/>
        </w:rPr>
        <w:t xml:space="preserve">The closest working model to what OpenJudgment needs is the Internet Engineering Task Force combined with a small sustaining foundation — similar to how the Internet Society relates to the IETF, or how the Wikimedia Foundation relates to Wikipedia.</w:t>
      </w:r>
    </w:p>
    <w:p>
      <w:pPr>
        <w:spacing w:after="80" w:before="80"/>
      </w:pPr>
      <w:r>
        <w:t xml:space="preserve"/>
      </w:r>
    </w:p>
    <w:p>
      <w:pPr>
        <w:spacing w:after="80" w:before="80"/>
      </w:pPr>
      <w:r>
        <w:rPr>
          <w:rFonts w:ascii="Arial" w:cs="Arial" w:eastAsia="Arial" w:hAnsi="Arial"/>
          <w:sz w:val="22"/>
          <w:szCs w:val="22"/>
        </w:rPr>
        <w:t xml:space="preserve">The OpenJudgment Foundation is a nonprofit whose sole purpose is to maintain the protocol specification, operate reference infrastructure, and steward the commons. It does not develop commercial products. It does not negotiate enterprise contracts. It maintains the standard.</w:t>
      </w:r>
    </w:p>
    <w:p>
      <w:pPr>
        <w:spacing w:after="80" w:before="80"/>
      </w:pPr>
      <w:r>
        <w:t xml:space="preserve"/>
      </w:r>
    </w:p>
    <w:p>
      <w:pPr>
        <w:spacing w:after="80" w:before="80"/>
      </w:pPr>
      <w:r>
        <w:rPr>
          <w:rFonts w:ascii="Arial" w:cs="Arial" w:eastAsia="Arial" w:hAnsi="Arial"/>
          <w:sz w:val="22"/>
          <w:szCs w:val="22"/>
        </w:rPr>
        <w:t xml:space="preserve">The Foundation is governed by a board composed of representatives from contributing institutions — engineering schools, professional societies, government standards bodies, and open source hardware organizations. No single institution holds a majority. No commercial entity holds a board seat. Funding comes from institutional membership dues, not from any single large donor who could exercise influence.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governance principle: whoever pays the most must not be able to control the direction. This requires that no single institutional member provides more than 20% of the Foundation's operating budget. This is a hard rule, not a guideline.</w:t>
            </w:r>
          </w:p>
        </w:tc>
      </w:tr>
    </w:tbl>
    <w:p>
      <w:pPr>
        <w:spacing w:after="80" w:before="80"/>
      </w:pPr>
      <w:r>
        <w:t xml:space="preserve"/>
      </w:r>
    </w:p>
    <w:p>
      <w:pPr>
        <w:pStyle w:val="Heading2"/>
        <w:spacing w:after="120" w:before="300"/>
      </w:pPr>
      <w:r>
        <w:rPr>
          <w:rFonts w:ascii="Arial" w:cs="Arial" w:eastAsia="Arial" w:hAnsi="Arial"/>
          <w:b/>
          <w:bCs/>
          <w:color w:val="2E6DAD"/>
          <w:sz w:val="28"/>
          <w:szCs w:val="28"/>
        </w:rPr>
        <w:t xml:space="preserve">Protocol Stewardship vs. Implementation Freedom</w:t>
      </w:r>
    </w:p>
    <w:p>
      <w:pPr>
        <w:spacing w:after="80" w:before="80"/>
      </w:pPr>
      <w:r>
        <w:t xml:space="preserve"/>
      </w:r>
    </w:p>
    <w:p>
      <w:pPr>
        <w:spacing w:after="80" w:before="80"/>
      </w:pPr>
      <w:r>
        <w:rPr>
          <w:rFonts w:ascii="Arial" w:cs="Arial" w:eastAsia="Arial" w:hAnsi="Arial"/>
          <w:sz w:val="22"/>
          <w:szCs w:val="22"/>
        </w:rPr>
        <w:t xml:space="preserve">The Foundation maintains the protocol. It does not maintain all implementations. Anyone can build an implementation — a commercial tool, a research platform, a government system — as long as it conforms to the protocol specification. This is exactly how the web works. The W3C maintains the HTML spec. Thousands of browsers and servers implement it. None of them are owned by the W3C.</w:t>
      </w:r>
    </w:p>
    <w:p>
      <w:pPr>
        <w:spacing w:after="80" w:before="80"/>
      </w:pPr>
      <w:r>
        <w:t xml:space="preserve"/>
      </w:r>
    </w:p>
    <w:p>
      <w:pPr>
        <w:spacing w:after="80" w:before="80"/>
      </w:pPr>
      <w:r>
        <w:rPr>
          <w:rFonts w:ascii="Arial" w:cs="Arial" w:eastAsia="Arial" w:hAnsi="Arial"/>
          <w:sz w:val="22"/>
          <w:szCs w:val="22"/>
        </w:rPr>
        <w:t xml:space="preserve">Commercial implementations are not only permitted, they are encouraged. A company that builds a commercial tool on top of OpenJudgment artifacts is not a threat to the commons. It is a sustainability mechanism. Commercial success of implementations creates institutional demand for the protocol to continue existing, which funds the Foundation through membership.</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Amendment Process</w:t>
      </w:r>
    </w:p>
    <w:p>
      <w:pPr>
        <w:spacing w:after="80" w:before="80"/>
      </w:pPr>
      <w:r>
        <w:t xml:space="preserve"/>
      </w:r>
    </w:p>
    <w:p>
      <w:pPr>
        <w:spacing w:after="80" w:before="80"/>
      </w:pPr>
      <w:r>
        <w:rPr>
          <w:rFonts w:ascii="Arial" w:cs="Arial" w:eastAsia="Arial" w:hAnsi="Arial"/>
          <w:sz w:val="22"/>
          <w:szCs w:val="22"/>
        </w:rPr>
        <w:t xml:space="preserve">Protocol changes follow a process modeled on the RFC system. Any contributor can propose a change. Proposals are published for public comment for a minimum of 60 days. Changes require ratification by two-thirds of the Foundation board. Backward compatibility is maintained across major versions. No change can remove an artifact type from the public domain once it has been published.</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VI. Financial Sustainability: How It Survives</w:t>
      </w:r>
    </w:p>
    <w:p>
      <w:pPr>
        <w:spacing w:after="80" w:before="80"/>
      </w:pPr>
      <w:r>
        <w:t xml:space="preserve"/>
      </w:r>
    </w:p>
    <w:p>
      <w:pPr>
        <w:spacing w:after="80" w:before="80"/>
      </w:pPr>
      <w:r>
        <w:rPr>
          <w:rFonts w:ascii="Arial" w:cs="Arial" w:eastAsia="Arial" w:hAnsi="Arial"/>
          <w:sz w:val="22"/>
          <w:szCs w:val="22"/>
        </w:rPr>
        <w:t xml:space="preserve">The ArXiv model is the most directly relevant precedent. ArXiv runs on approximately $2 million per year. It is funded by 230 member institutions — universities and research libraries — each contributing a small amount proportional to their usage. No single institution controls it. No commercial entity captures it. It has run for 30 years.</w:t>
      </w:r>
    </w:p>
    <w:p>
      <w:pPr>
        <w:spacing w:after="80" w:before="80"/>
      </w:pPr>
      <w:r>
        <w:t xml:space="preserve"/>
      </w:r>
    </w:p>
    <w:p>
      <w:pPr>
        <w:spacing w:after="80" w:before="80"/>
      </w:pPr>
      <w:r>
        <w:rPr>
          <w:rFonts w:ascii="Arial" w:cs="Arial" w:eastAsia="Arial" w:hAnsi="Arial"/>
          <w:sz w:val="22"/>
          <w:szCs w:val="22"/>
        </w:rPr>
        <w:t xml:space="preserve">For OpenJudgment, the funding model has three layers, ordered by reliability.</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Layer 1: Institutional Membership Dues (Core Sustainable Funding)</w:t>
      </w:r>
    </w:p>
    <w:p>
      <w:pPr>
        <w:spacing w:after="80" w:before="80"/>
      </w:pPr>
      <w:r>
        <w:t xml:space="preserve"/>
      </w:r>
    </w:p>
    <w:p>
      <w:pPr>
        <w:spacing w:after="80" w:before="80"/>
      </w:pPr>
      <w:r>
        <w:rPr>
          <w:rFonts w:ascii="Arial" w:cs="Arial" w:eastAsia="Arial" w:hAnsi="Arial"/>
          <w:sz w:val="22"/>
          <w:szCs w:val="22"/>
        </w:rPr>
        <w:t xml:space="preserve">Engineering schools, professional societies (IEEE, ASME, SAE), government standards bodies, and national laboratories pay annual membership dues to the Foundation in exchange for representation on the governance board and priority access to protocol working groups. At 100 institutional members contributing an average of $20,000 per year, this is $2 million annually — sufficient to operate lean reference infrastructure and maintain the protocol specification indefinitely.</w:t>
      </w:r>
    </w:p>
    <w:p>
      <w:pPr>
        <w:spacing w:after="80" w:before="80"/>
      </w:pPr>
      <w:r>
        <w:t xml:space="preserve"/>
      </w:r>
    </w:p>
    <w:p>
      <w:pPr>
        <w:spacing w:after="80" w:before="80"/>
      </w:pPr>
      <w:r>
        <w:rPr>
          <w:rFonts w:ascii="Arial" w:cs="Arial" w:eastAsia="Arial" w:hAnsi="Arial"/>
          <w:sz w:val="22"/>
          <w:szCs w:val="22"/>
        </w:rPr>
        <w:t xml:space="preserve">This layer does not require the commons to be commercially successful. It only requires that enough institutions believe in the value of the protocol continuing to exist. Given that the same institutions spend far more than this annually on proprietary knowledge management tools that do not solve the problem, the ask is modest.</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Layer 2: Protocol Certification (Self-Sustaining Quality Mechanism)</w:t>
      </w:r>
    </w:p>
    <w:p>
      <w:pPr>
        <w:spacing w:after="80" w:before="80"/>
      </w:pPr>
      <w:r>
        <w:t xml:space="preserve"/>
      </w:r>
    </w:p>
    <w:p>
      <w:pPr>
        <w:spacing w:after="80" w:before="80"/>
      </w:pPr>
      <w:r>
        <w:rPr>
          <w:rFonts w:ascii="Arial" w:cs="Arial" w:eastAsia="Arial" w:hAnsi="Arial"/>
          <w:sz w:val="22"/>
          <w:szCs w:val="22"/>
        </w:rPr>
        <w:t xml:space="preserve">Organizations that want to certify their implementations as OpenJudgment-compliant pay a certification fee to the Foundation. This is not a license — the protocol is free to implement. It is a quality mark. Regulators, particularly in medical devices, aerospace, and defense, increasingly require documented, validated knowledge management systems. OpenJudgment certification provides that documentation. The fee funds the certification process and contributes to Foundation operations.</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Layer 3: Individual Expert Membership (Community Ownership)</w:t>
      </w:r>
    </w:p>
    <w:p>
      <w:pPr>
        <w:spacing w:after="80" w:before="80"/>
      </w:pPr>
      <w:r>
        <w:t xml:space="preserve"/>
      </w:r>
    </w:p>
    <w:p>
      <w:pPr>
        <w:spacing w:after="80" w:before="80"/>
      </w:pPr>
      <w:r>
        <w:rPr>
          <w:rFonts w:ascii="Arial" w:cs="Arial" w:eastAsia="Arial" w:hAnsi="Arial"/>
          <w:sz w:val="22"/>
          <w:szCs w:val="22"/>
        </w:rPr>
        <w:t xml:space="preserve">Individual experts pay a modest annual membership — targeted at $200 per year, below the threshold where most engineers would need employer approval. In exchange, they receive verifiable, portable credentials tied to their contributions: the number of artifacts they have contributed, the confidence scores those artifacts have achieved, and the domains in which they hold validated expertise.</w:t>
      </w:r>
    </w:p>
    <w:p>
      <w:pPr>
        <w:spacing w:after="80" w:before="80"/>
      </w:pPr>
      <w:r>
        <w:t xml:space="preserve"/>
      </w:r>
    </w:p>
    <w:p>
      <w:pPr>
        <w:spacing w:after="80" w:before="80"/>
      </w:pPr>
      <w:r>
        <w:rPr>
          <w:rFonts w:ascii="Arial" w:cs="Arial" w:eastAsia="Arial" w:hAnsi="Arial"/>
          <w:sz w:val="22"/>
          <w:szCs w:val="22"/>
        </w:rPr>
        <w:t xml:space="preserve">This credential is the key incentive for individual contribution. An engineer whose employer does not publicize their expertise, whose career advancement depends on internal performance reviews rather than external recognition, gains something genuinely valuable: proof of what they know that travels with them outside their employer. At 10,000 individual members, this layer contributes $2 million annually and provides the community ownership structure that prevents institutional capture.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financial model test: would OpenJudgment survive if its three largest institutional members left simultaneously? If the answer is no, the funding is too concentrated. The target is that the top three institutional members represent no more than 30% of total revenue.</w:t>
            </w:r>
          </w:p>
        </w:tc>
      </w:tr>
    </w:tbl>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VII. How Experts Are Actually Rewarded</w:t>
      </w:r>
    </w:p>
    <w:p>
      <w:pPr>
        <w:spacing w:after="80" w:before="80"/>
      </w:pPr>
      <w:r>
        <w:t xml:space="preserve"/>
      </w:r>
    </w:p>
    <w:p>
      <w:pPr>
        <w:spacing w:after="80" w:before="80"/>
      </w:pPr>
      <w:r>
        <w:rPr>
          <w:rFonts w:ascii="Arial" w:cs="Arial" w:eastAsia="Arial" w:hAnsi="Arial"/>
          <w:sz w:val="22"/>
          <w:szCs w:val="22"/>
        </w:rPr>
        <w:t xml:space="preserve">This section is direct about what works and what does not, based on the research record and the honest failures of previous proposals in this project.</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Credential That Travels</w:t>
      </w:r>
    </w:p>
    <w:p>
      <w:pPr>
        <w:spacing w:after="80" w:before="80"/>
      </w:pPr>
      <w:r>
        <w:t xml:space="preserve"/>
      </w:r>
    </w:p>
    <w:p>
      <w:pPr>
        <w:spacing w:after="80" w:before="80"/>
      </w:pPr>
      <w:r>
        <w:rPr>
          <w:rFonts w:ascii="Arial" w:cs="Arial" w:eastAsia="Arial" w:hAnsi="Arial"/>
          <w:sz w:val="22"/>
          <w:szCs w:val="22"/>
        </w:rPr>
        <w:t xml:space="preserve">The most powerful reward for an individual expert is not money from the platform. It is verifiable, external proof of expertise that they own — not their employer. Most engineers' expertise is invisible outside their organization. Their LinkedIn says 'Senior Systems Engineer at [Company].' It does not say 'the person who figured out why the pump cavitates at 40% load, documented it with evidence, and whose pattern has been validated 500 times across 15 organizations.'</w:t>
      </w:r>
    </w:p>
    <w:p>
      <w:pPr>
        <w:spacing w:after="80" w:before="80"/>
      </w:pPr>
      <w:r>
        <w:t xml:space="preserve"/>
      </w:r>
    </w:p>
    <w:p>
      <w:pPr>
        <w:spacing w:after="80" w:before="80"/>
      </w:pPr>
      <w:r>
        <w:rPr>
          <w:rFonts w:ascii="Arial" w:cs="Arial" w:eastAsia="Arial" w:hAnsi="Arial"/>
          <w:sz w:val="22"/>
          <w:szCs w:val="22"/>
        </w:rPr>
        <w:t xml:space="preserve">An OpenJudgment contributor profile changes this. It shows the specific domains where an expert's artifacts have been validated, the confidence scores those artifacts have achieved, the number of times they have been used, and the evidence base behind them. This is a credential that hiring managers, consulting clients, and expert witness attorneys can verify independently. It converts tacit expertise into a portable, quantified asset.</w:t>
      </w:r>
    </w:p>
    <w:p>
      <w:pPr>
        <w:spacing w:after="80" w:before="80"/>
      </w:pPr>
      <w:r>
        <w:t xml:space="preserve"/>
      </w:r>
    </w:p>
    <w:p>
      <w:pPr>
        <w:spacing w:after="80" w:before="80"/>
      </w:pPr>
      <w:r>
        <w:rPr>
          <w:rFonts w:ascii="Arial" w:cs="Arial" w:eastAsia="Arial" w:hAnsi="Arial"/>
          <w:sz w:val="22"/>
          <w:szCs w:val="22"/>
        </w:rPr>
        <w:t xml:space="preserve">Research from Kaggle, Toptal, and similar platforms consistently shows that verified, public expertise credentials translate to 30-50% higher consulting rates and significantly more job offer contact within the first year of achieving recognized status. This is not speculative — it is the documented outcome of verifiable expertise credentialing in technical domains.</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Revenue Share: The Long-Term Incentive</w:t>
      </w:r>
    </w:p>
    <w:p>
      <w:pPr>
        <w:spacing w:after="80" w:before="80"/>
      </w:pPr>
      <w:r>
        <w:t xml:space="preserve"/>
      </w:r>
    </w:p>
    <w:p>
      <w:pPr>
        <w:spacing w:after="80" w:before="80"/>
      </w:pPr>
      <w:r>
        <w:rPr>
          <w:rFonts w:ascii="Arial" w:cs="Arial" w:eastAsia="Arial" w:hAnsi="Arial"/>
          <w:sz w:val="22"/>
          <w:szCs w:val="22"/>
        </w:rPr>
        <w:t xml:space="preserve">As the Foundation generates revenue through certification fees and institutional membership, a portion of that revenue — targeted at 30% — flows back to contributors proportional to the validated usage of their artifacts. This is not equity in a startup that may never pay out. It is a direct share of real revenue generated by real usage.</w:t>
      </w:r>
    </w:p>
    <w:p>
      <w:pPr>
        <w:spacing w:after="80" w:before="80"/>
      </w:pPr>
      <w:r>
        <w:t xml:space="preserve"/>
      </w:r>
    </w:p>
    <w:p>
      <w:pPr>
        <w:spacing w:after="80" w:before="80"/>
      </w:pPr>
      <w:r>
        <w:rPr>
          <w:rFonts w:ascii="Arial" w:cs="Arial" w:eastAsia="Arial" w:hAnsi="Arial"/>
          <w:sz w:val="22"/>
          <w:szCs w:val="22"/>
        </w:rPr>
        <w:t xml:space="preserve">In early years this is small. An artifact used 1,000 times in a year with a $0.001 per-use allocation generates $1. At $10 million annual Foundation revenue with 30% contributor share and 10,000 active contributors, the average contributor earns $300 per year. A top contributor whose artifacts are used 100,000 times annually earns $30,000 per year in passive income. This is not a salary replacement. It is a signal that the platform values contribution economically, not just reputationally.</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What Is Explicitly Not Proposed</w:t>
      </w:r>
    </w:p>
    <w:p>
      <w:pPr>
        <w:spacing w:after="80" w:before="80"/>
      </w:pPr>
      <w:r>
        <w:t xml:space="preserve"/>
      </w:r>
    </w:p>
    <w:p>
      <w:pPr>
        <w:spacing w:after="80" w:before="80"/>
      </w:pPr>
      <w:r>
        <w:rPr>
          <w:rFonts w:ascii="Arial" w:cs="Arial" w:eastAsia="Arial" w:hAnsi="Arial"/>
          <w:sz w:val="22"/>
          <w:szCs w:val="22"/>
        </w:rPr>
        <w:t xml:space="preserve">No token economy. No blockchain credentials. No tradeable judgment credits. No dividend-bearing governance tokens. These mechanisms were proposed and analyzed in depth during this project's development and rejected for the same reason each time: they are circular. They create value only after the platform is already successful, which means they do not solve the problem of getting to success. A simpler, more honest incentive structure — credentials that are immediately valuable, revenue share that grows with the platform — is more likely to attract and retain the contributors who matter.</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VIII. How It Actually Democratizes Innovation</w:t>
      </w:r>
    </w:p>
    <w:p>
      <w:pPr>
        <w:spacing w:after="80" w:before="80"/>
      </w:pPr>
      <w:r>
        <w:t xml:space="preserve"/>
      </w:r>
    </w:p>
    <w:p>
      <w:pPr>
        <w:spacing w:after="80" w:before="80"/>
      </w:pPr>
      <w:r>
        <w:rPr>
          <w:rFonts w:ascii="Arial" w:cs="Arial" w:eastAsia="Arial" w:hAnsi="Arial"/>
          <w:sz w:val="22"/>
          <w:szCs w:val="22"/>
        </w:rPr>
        <w:t xml:space="preserve">Clayton Christensen's innovator's dilemma describes how disruptive innovation typically comes from the low end — simpler, cheaper, more accessible tools that incumbents ignore until it is too late. The digital revolution democratized information creation and distribution. The maker revolution democratized access to fabrication tools. What neither has democratized is the expertise to use those tools effectively in high-stakes domains.</w:t>
      </w:r>
    </w:p>
    <w:p>
      <w:pPr>
        <w:spacing w:after="80" w:before="80"/>
      </w:pPr>
      <w:r>
        <w:t xml:space="preserve"/>
      </w:r>
    </w:p>
    <w:p>
      <w:pPr>
        <w:spacing w:after="80" w:before="80"/>
      </w:pPr>
      <w:r>
        <w:rPr>
          <w:rFonts w:ascii="Arial" w:cs="Arial" w:eastAsia="Arial" w:hAnsi="Arial"/>
          <w:sz w:val="22"/>
          <w:szCs w:val="22"/>
        </w:rPr>
        <w:t xml:space="preserve">OpenJudgment is the missing layer. It does not give people CNC machines or robotics frameworks — those already exist. It gives people the judgment to use them without the decade of experience that currently separates a failed project from a successful one.</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Knowledge Stack and Where the Gap Is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6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color w:val="FFFFFF"/>
                <w:sz w:val="20"/>
                <w:szCs w:val="20"/>
              </w:rPr>
              <w:t xml:space="preserve">Status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Data (raw measurements, sensor readings)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Exists. Cheap. Accessible.</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Information (organized data, databases, spreadsheets)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Exists. Cheap. Accessible.</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Knowledge (textbooks, papers, documented procedures)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Exists. Increasingly free. Wikipedia, ArXiv, open textbooks.</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Judgment (contextual expertise, operational wisdom, decision patterns)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Does not exist at scale. Currently locked inside individual experts and proprietary organizations.</w:t>
            </w:r>
          </w:p>
        </w:tc>
      </w:tr>
    </w:tbl>
    <w:p>
      <w:pPr>
        <w:spacing w:after="80" w:before="80"/>
      </w:pPr>
      <w:r>
        <w:t xml:space="preserve"/>
      </w:r>
    </w:p>
    <w:p>
      <w:pPr>
        <w:spacing w:after="80" w:before="80"/>
      </w:pPr>
      <w:r>
        <w:rPr>
          <w:rFonts w:ascii="Arial" w:cs="Arial" w:eastAsia="Arial" w:hAnsi="Arial"/>
          <w:sz w:val="22"/>
          <w:szCs w:val="22"/>
        </w:rPr>
        <w:t xml:space="preserve">OpenJudgment builds Layer 4. When Layer 4 exists in structured, accessible, validated form, the combination of existing Layers 1-3 with Layer 4 creates something that has never existed before: a path from basic engineering education to genuine operational competence that does not require years of direct apprenticeship with a specific expert in a specific organization.</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The TSE Integration: Judgment Meets Change Analysis</w:t>
      </w:r>
    </w:p>
    <w:p>
      <w:pPr>
        <w:spacing w:after="80" w:before="80"/>
      </w:pPr>
      <w:r>
        <w:t xml:space="preserve"/>
      </w:r>
    </w:p>
    <w:p>
      <w:pPr>
        <w:spacing w:after="80" w:before="80"/>
      </w:pPr>
      <w:r>
        <w:rPr>
          <w:rFonts w:ascii="Arial" w:cs="Arial" w:eastAsia="Arial" w:hAnsi="Arial"/>
          <w:sz w:val="22"/>
          <w:szCs w:val="22"/>
        </w:rPr>
        <w:t xml:space="preserve">The Traceability Shockwave Engine is not a standalone product. It is the analytical engine that operates on OpenJudgment artifact data. When a system is modeled as a dependency graph — components linked to each other through mechanical, electrical, thermal, and control relationships, with each component linked to its relevant OIAs and DIAs — TSE can answer the question that currently requires an expert: if I change this, what else is affected, and how?</w:t>
      </w:r>
    </w:p>
    <w:p>
      <w:pPr>
        <w:spacing w:after="80" w:before="80"/>
      </w:pPr>
      <w:r>
        <w:t xml:space="preserve"/>
      </w:r>
    </w:p>
    <w:p>
      <w:pPr>
        <w:spacing w:after="80" w:before="80"/>
      </w:pPr>
      <w:r>
        <w:rPr>
          <w:rFonts w:ascii="Arial" w:cs="Arial" w:eastAsia="Arial" w:hAnsi="Arial"/>
          <w:sz w:val="22"/>
          <w:szCs w:val="22"/>
        </w:rPr>
        <w:t xml:space="preserve">The change impact analysis is only as good as the artifact data it draws on. Without OIAs and DIAs, TSE can tell you which components are connected. With them, it can tell you which connections are safety-critical, which have narrow margins, and which changes will trigger cascading failures based on the documented experience of everyone who has worked on similar systems. This is the integration that makes both components more valuable together than separately.</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IX. The Path Forward: Phase by Phase</w:t>
      </w:r>
    </w:p>
    <w:p>
      <w:pPr>
        <w:spacing w:after="80" w:before="80"/>
      </w:pPr>
      <w:r>
        <w:t xml:space="preserve"/>
      </w:r>
    </w:p>
    <w:p>
      <w:pPr>
        <w:spacing w:after="80" w:before="80"/>
      </w:pPr>
      <w:r>
        <w:rPr>
          <w:rFonts w:ascii="Arial" w:cs="Arial" w:eastAsia="Arial" w:hAnsi="Arial"/>
          <w:sz w:val="22"/>
          <w:szCs w:val="22"/>
        </w:rPr>
        <w:t xml:space="preserve">The following is an honest sequencing of what must happen, in what order, with honest assessment of where the risks are at each phase.</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Phase 0: Find the Community Before Building the Platform (Months 1-6)</w:t>
      </w:r>
    </w:p>
    <w:p>
      <w:pPr>
        <w:spacing w:after="80" w:before="80"/>
      </w:pPr>
      <w:r>
        <w:t xml:space="preserve"/>
      </w:r>
    </w:p>
    <w:p>
      <w:pPr>
        <w:spacing w:after="80" w:before="80"/>
      </w:pPr>
      <w:r>
        <w:rPr>
          <w:rFonts w:ascii="Arial" w:cs="Arial" w:eastAsia="Arial" w:hAnsi="Arial"/>
          <w:sz w:val="22"/>
          <w:szCs w:val="22"/>
        </w:rPr>
        <w:t xml:space="preserve">Nothing gets built in Phase 0. The work is entirely relational. The goal is to find 20-30 people who are already trying to do what OpenJudgment will enable, and who will commit to being founding contributors before the platform exists.</w:t>
      </w:r>
    </w:p>
    <w:p>
      <w:pPr>
        <w:spacing w:after="80" w:before="80"/>
      </w:pPr>
      <w:r>
        <w:t xml:space="preserve"/>
      </w:r>
    </w:p>
    <w:p>
      <w:pPr>
        <w:spacing w:after="80" w:before="80"/>
      </w:pPr>
      <w:r>
        <w:rPr>
          <w:rFonts w:ascii="Arial" w:cs="Arial" w:eastAsia="Arial" w:hAnsi="Arial"/>
          <w:sz w:val="22"/>
          <w:szCs w:val="22"/>
        </w:rPr>
        <w:t xml:space="preserve">The target communities: retiring engineers in nuclear, maritime, or heavy manufacturing who want to preserve their knowledge; leaders in open source hardware communities who are frustrated by project failure rates; engineering faculty who teach hands-on courses and document failure modes for their students. One of these communities is the entry point. The choice of which one determines the initial artifact domain and the early governance culture.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Phase 0 risk: This phase has no deliverable that looks like progress. It is relationship-building and listening. The temptation is to skip it and start building. Skipping it is how you build a platform that nobody contributes to.</w:t>
            </w:r>
          </w:p>
        </w:tc>
      </w:tr>
    </w:tbl>
    <w:p>
      <w:pPr>
        <w:spacing w:after="80" w:before="80"/>
      </w:pPr>
      <w:r>
        <w:t xml:space="preserve"/>
      </w:r>
    </w:p>
    <w:p>
      <w:pPr>
        <w:pStyle w:val="Heading2"/>
        <w:spacing w:after="120" w:before="300"/>
      </w:pPr>
      <w:r>
        <w:rPr>
          <w:rFonts w:ascii="Arial" w:cs="Arial" w:eastAsia="Arial" w:hAnsi="Arial"/>
          <w:b/>
          <w:bCs/>
          <w:color w:val="2E6DAD"/>
          <w:sz w:val="28"/>
          <w:szCs w:val="28"/>
        </w:rPr>
        <w:t xml:space="preserve">Phase 1: Protocol and Reference Implementation (Months 6-18)</w:t>
      </w:r>
    </w:p>
    <w:p>
      <w:pPr>
        <w:spacing w:after="80" w:before="80"/>
      </w:pPr>
      <w:r>
        <w:t xml:space="preserve"/>
      </w:r>
    </w:p>
    <w:p>
      <w:pPr>
        <w:spacing w:after="80" w:before="80"/>
      </w:pPr>
      <w:r>
        <w:rPr>
          <w:rFonts w:ascii="Arial" w:cs="Arial" w:eastAsia="Arial" w:hAnsi="Arial"/>
          <w:sz w:val="22"/>
          <w:szCs w:val="22"/>
        </w:rPr>
        <w:t xml:space="preserve">With a committed founding community, the protocol specification is finalized and published under CC0. The reference implementation — a simple web interface for submitting, browsing, and logging evidence against artifacts — is built and deployed. The founding contributors populate the first 50-100 artifacts in one specific domain.</w:t>
      </w:r>
    </w:p>
    <w:p>
      <w:pPr>
        <w:spacing w:after="80" w:before="80"/>
      </w:pPr>
      <w:r>
        <w:t xml:space="preserve"/>
      </w:r>
    </w:p>
    <w:p>
      <w:pPr>
        <w:spacing w:after="80" w:before="80"/>
      </w:pPr>
      <w:r>
        <w:rPr>
          <w:rFonts w:ascii="Arial" w:cs="Arial" w:eastAsia="Arial" w:hAnsi="Arial"/>
          <w:sz w:val="22"/>
          <w:szCs w:val="22"/>
        </w:rPr>
        <w:t xml:space="preserve">The goal of Phase 1 is not scale. It is proof. Proof that the artifact format is useful. Proof that evidence logging works in practice. Proof that confidence scoring produces meaningful differentiation between good and bad artifacts. One domain, done well, is the entire deliverable.</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Phase 2: Institutional Foundation (Months 18-36)</w:t>
      </w:r>
    </w:p>
    <w:p>
      <w:pPr>
        <w:spacing w:after="80" w:before="80"/>
      </w:pPr>
      <w:r>
        <w:t xml:space="preserve"/>
      </w:r>
    </w:p>
    <w:p>
      <w:pPr>
        <w:spacing w:after="80" w:before="80"/>
      </w:pPr>
      <w:r>
        <w:rPr>
          <w:rFonts w:ascii="Arial" w:cs="Arial" w:eastAsia="Arial" w:hAnsi="Arial"/>
          <w:sz w:val="22"/>
          <w:szCs w:val="22"/>
        </w:rPr>
        <w:t xml:space="preserve">With a working reference implementation and validated artifact data in one domain, the Foundation is formally incorporated. The first institutional members are recruited — starting with the engineering schools and professional societies whose faculty and members contributed to Phase 1. Initial operating budget is secured through institutional membership dues.</w:t>
      </w:r>
    </w:p>
    <w:p>
      <w:pPr>
        <w:spacing w:after="80" w:before="80"/>
      </w:pPr>
      <w:r>
        <w:t xml:space="preserve"/>
      </w:r>
    </w:p>
    <w:p>
      <w:pPr>
        <w:spacing w:after="80" w:before="80"/>
      </w:pPr>
      <w:r>
        <w:rPr>
          <w:rFonts w:ascii="Arial" w:cs="Arial" w:eastAsia="Arial" w:hAnsi="Arial"/>
          <w:sz w:val="22"/>
          <w:szCs w:val="22"/>
        </w:rPr>
        <w:t xml:space="preserve">TSE integration is built during this phase, connecting artifact data to dependency graph analysis. The first external organizations use the platform to conduct change impact analysis on real systems, providing both evidence for artifact quality and revenue through protocol certification.</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Phase 3: Protocol Maturity and Community Growth (Years 3-7)</w:t>
      </w:r>
    </w:p>
    <w:p>
      <w:pPr>
        <w:spacing w:after="80" w:before="80"/>
      </w:pPr>
      <w:r>
        <w:t xml:space="preserve"/>
      </w:r>
    </w:p>
    <w:p>
      <w:pPr>
        <w:spacing w:after="80" w:before="80"/>
      </w:pPr>
      <w:r>
        <w:rPr>
          <w:rFonts w:ascii="Arial" w:cs="Arial" w:eastAsia="Arial" w:hAnsi="Arial"/>
          <w:sz w:val="22"/>
          <w:szCs w:val="22"/>
        </w:rPr>
        <w:t xml:space="preserve">The protocol is extended to cover additional domains through a formal working group process. Each new domain is led by a community of practitioners in that domain — the Foundation provides infrastructure and governance, not domain expertise. The contributor credential system achieves sufficient recognition that it is referenced in job postings and consulting RFPs.</w:t>
      </w:r>
    </w:p>
    <w:p>
      <w:pPr>
        <w:spacing w:after="80" w:before="80"/>
      </w:pPr>
      <w:r>
        <w:t xml:space="preserve"/>
      </w:r>
    </w:p>
    <w:p>
      <w:pPr>
        <w:spacing w:after="80" w:before="80"/>
      </w:pPr>
      <w:r>
        <w:rPr>
          <w:rFonts w:ascii="Arial" w:cs="Arial" w:eastAsia="Arial" w:hAnsi="Arial"/>
          <w:sz w:val="22"/>
          <w:szCs w:val="22"/>
        </w:rPr>
        <w:t xml:space="preserve">Revenue share to contributors begins. Individual membership grows. The Foundation achieves financial self-sufficiency without dependence on any single institutional member.</w:t>
      </w:r>
    </w:p>
    <w:p>
      <w:pPr>
        <w:spacing w:after="80" w:before="80"/>
      </w:pPr>
      <w:r>
        <w:t xml:space="preserve"/>
      </w:r>
    </w:p>
    <w:p>
      <w:pPr>
        <w:pStyle w:val="Heading2"/>
        <w:spacing w:after="120" w:before="300"/>
      </w:pPr>
      <w:r>
        <w:rPr>
          <w:rFonts w:ascii="Arial" w:cs="Arial" w:eastAsia="Arial" w:hAnsi="Arial"/>
          <w:b/>
          <w:bCs/>
          <w:color w:val="2E6DAD"/>
          <w:sz w:val="28"/>
          <w:szCs w:val="28"/>
        </w:rPr>
        <w:t xml:space="preserve">Phase 4: The Long Game (Years 7+)</w:t>
      </w:r>
    </w:p>
    <w:p>
      <w:pPr>
        <w:spacing w:after="80" w:before="80"/>
      </w:pPr>
      <w:r>
        <w:t xml:space="preserve"/>
      </w:r>
    </w:p>
    <w:p>
      <w:pPr>
        <w:spacing w:after="80" w:before="80"/>
      </w:pPr>
      <w:r>
        <w:rPr>
          <w:rFonts w:ascii="Arial" w:cs="Arial" w:eastAsia="Arial" w:hAnsi="Arial"/>
          <w:sz w:val="22"/>
          <w:szCs w:val="22"/>
        </w:rPr>
        <w:t xml:space="preserve">This is the phase that cannot be planned in detail and should not be. The internet's architects in 1975 could not have predicted Wikipedia or the iPhone. The goal for Phase 4 is to have built infrastructure robust enough that things you cannot currently imagine become possible on top of it. That requires getting Phases 0-3 right, not planning Phase 4.</w:t>
      </w:r>
    </w:p>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X. The Honest Risk Assessment</w:t>
      </w:r>
    </w:p>
    <w:p>
      <w:pPr>
        <w:spacing w:after="80" w:before="80"/>
      </w:pPr>
      <w:r>
        <w:t xml:space="preserve"/>
      </w:r>
    </w:p>
    <w:p>
      <w:pPr>
        <w:spacing w:after="80" w:before="80"/>
      </w:pPr>
      <w:r>
        <w:rPr>
          <w:rFonts w:ascii="Arial" w:cs="Arial" w:eastAsia="Arial" w:hAnsi="Arial"/>
          <w:sz w:val="22"/>
          <w:szCs w:val="22"/>
        </w:rPr>
        <w:t xml:space="preserve">This section does not exist to discourage the project. It exists because every previous analysis of this project has understated risks in service of preserving enthusiasm. That pattern ends here.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63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color w:val="FFFFFF"/>
                <w:sz w:val="20"/>
                <w:szCs w:val="20"/>
              </w:rPr>
              <w:t xml:space="preserve">Honest Assessment</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Cold start / no initial contributors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HIGH. The most likely failure mode. Mitigated only by genuine community relationships built before any code is written.</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Artifact quality too low to be useful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MEDIUM. Mitigated by evidence-based confidence scoring, but requires real-world usage to generate evidence, which requires initial usefulness. Circular dependency that must be managed carefully in domain selection.</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Platform capture by commercial interests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MEDIUM. The 20% funding concentration rule and CC0 protocol license are structural mitigations. Requires constant governance vigilance.</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Contribution effort too high to sustain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HIGH for some expert types. Mitigated by targeting communities where contribution is already partially occurring. Not fully solved.</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Regulatory barriers to using crowd-sourced judgment in safety-critical applications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MEDIUM-HIGH. Medical devices, aerospace, nuclear — all have regulatory frameworks that may not accept community-validated knowledge as design evidence. This limits early commercial application.</w:t>
            </w:r>
          </w:p>
        </w:tc>
      </w:tr>
      <w:tr>
        <w:tc>
          <w:tcPr>
            <w:tcW w:type="dxa" w:w="3000"/>
            <w:tcBorders>
              <w:top w:val="single" w:color="CCCCCC" w:sz="1"/>
              <w:left w:val="single" w:color="CCCCCC" w:sz="1"/>
              <w:bottom w:val="single" w:color="CCCCCC" w:sz="1"/>
              <w:right w:val="single" w:color="CCCCCC" w:sz="1"/>
            </w:tcBorders>
            <w:shd w:fill="EBF2FA" w:val="clear"/>
            <w:tcMar>
              <w:top w:type="dxa" w:w="80"/>
              <w:left w:type="dxa" w:w="120"/>
              <w:bottom w:type="dxa" w:w="80"/>
              <w:right w:type="dxa" w:w="120"/>
            </w:tcMar>
          </w:tcPr>
          <w:p>
            <w:r>
              <w:rPr>
                <w:rFonts w:ascii="Arial" w:cs="Arial" w:eastAsia="Arial" w:hAnsi="Arial"/>
                <w:b/>
                <w:bCs/>
                <w:color w:val="1E3A5F"/>
                <w:sz w:val="20"/>
                <w:szCs w:val="20"/>
              </w:rPr>
              <w:t xml:space="preserve">Timeline: 10-20 years to meaningful scale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CERTAIN. This is not a startup-timeline project. Anyone expecting 5-year outcomes will be disappointed and will defect. Founders must be genuinely committed to institution-building on a generational timeline.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Elizabeth Holmes test: Is there anything in this document that claims to be possible which the underlying physics or human behavior makes actually impossible? The honest answer is: the cold start and expert contribution problems are genuinely unsolved. This document describes the best available approach, not a proven solution. Anyone who tells you otherwise about a project of this ambition is not being straight with you.</w:t>
            </w:r>
          </w:p>
        </w:tc>
      </w:tr>
    </w:tbl>
    <w:p>
      <w:pPr>
        <w:spacing w:after="80" w:before="80"/>
      </w:pPr>
      <w:r>
        <w:t xml:space="preserve"/>
      </w:r>
    </w:p>
    <w:p>
      <w:r>
        <w:br w:type="page"/>
      </w:r>
    </w:p>
    <w:p>
      <w:pPr>
        <w:pStyle w:val="Heading1"/>
        <w:pBdr>
          <w:bottom w:val="single" w:color="2E6DAD" w:sz="4" w:space="4"/>
        </w:pBdr>
        <w:spacing w:after="200" w:before="400"/>
      </w:pPr>
      <w:r>
        <w:rPr>
          <w:rFonts w:ascii="Arial" w:cs="Arial" w:eastAsia="Arial" w:hAnsi="Arial"/>
          <w:b/>
          <w:bCs/>
          <w:color w:val="1E3A5F"/>
          <w:sz w:val="36"/>
          <w:szCs w:val="36"/>
        </w:rPr>
        <w:t xml:space="preserve">XI. What This Is Not</w:t>
      </w:r>
    </w:p>
    <w:p>
      <w:pPr>
        <w:spacing w:after="80" w:before="80"/>
      </w:pPr>
      <w:r>
        <w:t xml:space="preserve"/>
      </w:r>
    </w:p>
    <w:p>
      <w:pPr>
        <w:spacing w:after="80" w:before="80"/>
      </w:pPr>
      <w:r>
        <w:rPr>
          <w:rFonts w:ascii="Arial" w:cs="Arial" w:eastAsia="Arial" w:hAnsi="Arial"/>
          <w:sz w:val="22"/>
          <w:szCs w:val="22"/>
        </w:rPr>
        <w:t xml:space="preserve">Clarity about what OpenJudgment is not may be as important as clarity about what it is.</w:t>
      </w:r>
    </w:p>
    <w:p>
      <w:pPr>
        <w:spacing w:after="80" w:before="80"/>
      </w:pPr>
      <w:r>
        <w:t xml:space="preserve"/>
      </w:r>
    </w:p>
    <w:p>
      <w:pPr>
        <w:pStyle w:val="ListParagraph"/>
        <w:numPr>
          <w:ilvl w:val="0"/>
          <w:numId w:val="2"/>
        </w:numPr>
        <w:spacing w:after="40" w:before="40"/>
      </w:pPr>
      <w:r>
        <w:rPr>
          <w:rFonts w:ascii="Arial" w:cs="Arial" w:eastAsia="Arial" w:hAnsi="Arial"/>
          <w:sz w:val="22"/>
          <w:szCs w:val="22"/>
        </w:rPr>
        <w:t xml:space="preserve">It is not a startup. A startup requires a path to revenue on a 3-5 year timeline and a return to investors. OpenJudgment is a 15-20 year institution-building project.</w:t>
      </w:r>
    </w:p>
    <w:p>
      <w:pPr>
        <w:pStyle w:val="ListParagraph"/>
        <w:numPr>
          <w:ilvl w:val="0"/>
          <w:numId w:val="2"/>
        </w:numPr>
        <w:spacing w:after="40" w:before="40"/>
      </w:pPr>
      <w:r>
        <w:rPr>
          <w:rFonts w:ascii="Arial" w:cs="Arial" w:eastAsia="Arial" w:hAnsi="Arial"/>
          <w:sz w:val="22"/>
          <w:szCs w:val="22"/>
        </w:rPr>
        <w:t xml:space="preserve">It is not a product you build and sell. The protocol is a public good. The Foundation operates infrastructure. Commercial implementations are built by others on top of it.</w:t>
      </w:r>
    </w:p>
    <w:p>
      <w:pPr>
        <w:pStyle w:val="ListParagraph"/>
        <w:numPr>
          <w:ilvl w:val="0"/>
          <w:numId w:val="2"/>
        </w:numPr>
        <w:spacing w:after="40" w:before="40"/>
      </w:pPr>
      <w:r>
        <w:rPr>
          <w:rFonts w:ascii="Arial" w:cs="Arial" w:eastAsia="Arial" w:hAnsi="Arial"/>
          <w:sz w:val="22"/>
          <w:szCs w:val="22"/>
        </w:rPr>
        <w:t xml:space="preserve">It is not a replacement for domain expertise. It is a tool for transferring and accessing expertise. The judgment must come from real experts. The platform does not generate judgment; it structures and distributes it.</w:t>
      </w:r>
    </w:p>
    <w:p>
      <w:pPr>
        <w:pStyle w:val="ListParagraph"/>
        <w:numPr>
          <w:ilvl w:val="0"/>
          <w:numId w:val="2"/>
        </w:numPr>
        <w:spacing w:after="40" w:before="40"/>
      </w:pPr>
      <w:r>
        <w:rPr>
          <w:rFonts w:ascii="Arial" w:cs="Arial" w:eastAsia="Arial" w:hAnsi="Arial"/>
          <w:sz w:val="22"/>
          <w:szCs w:val="22"/>
        </w:rPr>
        <w:t xml:space="preserve">It is not something one person can build alone. It requires a founding community, institutional partners, and sustained collective effort across decades.</w:t>
      </w:r>
    </w:p>
    <w:p>
      <w:pPr>
        <w:pStyle w:val="ListParagraph"/>
        <w:numPr>
          <w:ilvl w:val="0"/>
          <w:numId w:val="2"/>
        </w:numPr>
        <w:spacing w:after="40" w:before="40"/>
      </w:pPr>
      <w:r>
        <w:rPr>
          <w:rFonts w:ascii="Arial" w:cs="Arial" w:eastAsia="Arial" w:hAnsi="Arial"/>
          <w:sz w:val="22"/>
          <w:szCs w:val="22"/>
        </w:rPr>
        <w:t xml:space="preserve">It is not something that will make its founders rich. It may make them professionally respected, it may generate modest personal income through the credential and revenue share systems, but anyone who builds this for financial return will make different decisions than the ones required to keep it truly open.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51" w:sz="12"/>
              <w:bottom w:val="none" w:color="FFFFFF" w:sz="0"/>
              <w:right w:val="none" w:color="FFFFFF" w:sz="0"/>
            </w:tcBorders>
            <w:shd w:fill="EBF2FA" w:val="clear"/>
            <w:tcMar>
              <w:top w:type="dxa" w:w="120"/>
              <w:left w:type="dxa" w:w="240"/>
              <w:bottom w:type="dxa" w:w="120"/>
              <w:right w:type="dxa" w:w="120"/>
            </w:tcMar>
          </w:tcPr>
          <w:p>
            <w:r>
              <w:rPr>
                <w:rFonts w:ascii="Arial" w:cs="Arial" w:eastAsia="Arial" w:hAnsi="Arial"/>
                <w:i/>
                <w:iCs/>
                <w:sz w:val="22"/>
                <w:szCs w:val="22"/>
              </w:rPr>
              <w:t xml:space="preserve">The final honest question: Is this worth doing even if it takes 20 years, even if you personally never see the full vision realized, even if the path forward is unclear and the problems are genuinely hard? If yes, this is the right project. If no, find a different one. Both answers are legitimate.</w:t>
            </w:r>
          </w:p>
        </w:tc>
      </w:tr>
    </w:tbl>
    <w:p>
      <w:pPr>
        <w:spacing w:after="80" w:before="80"/>
      </w:pPr>
      <w:r>
        <w:t xml:space="preserve"/>
      </w:r>
    </w:p>
    <w:p>
      <w:pPr>
        <w:pBdr>
          <w:top w:val="single" w:color="C8A951" w:sz="4" w:space="6"/>
        </w:pBdr>
        <w:spacing w:after="0" w:before="400"/>
        <w:jc w:val="center"/>
      </w:pPr>
      <w:r>
        <w:rPr>
          <w:rFonts w:ascii="Arial" w:cs="Arial" w:eastAsia="Arial" w:hAnsi="Arial"/>
          <w:i/>
          <w:iCs/>
          <w:color w:val="888888"/>
          <w:sz w:val="20"/>
          <w:szCs w:val="20"/>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D" w:sz="4" w:space="4"/>
      </w:pBdr>
      <w:tabs>
        <w:tab w:val="right" w:pos="9360"/>
      </w:tabs>
    </w:pPr>
    <w:r>
      <w:rPr>
        <w:rFonts w:ascii="Arial" w:cs="Arial" w:eastAsia="Arial" w:hAnsi="Arial"/>
        <w:color w:val="888888"/>
        <w:sz w:val="18"/>
        <w:szCs w:val="18"/>
      </w:rPr>
      <w:t xml:space="preserve">The Internet of Expert Judgment  </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D" w:sz="4" w:space="4"/>
      </w:pBdr>
    </w:pPr>
    <w:r>
      <w:rPr>
        <w:rFonts w:ascii="Arial" w:cs="Arial" w:eastAsia="Arial" w:hAnsi="Arial"/>
        <w:color w:val="888888"/>
        <w:sz w:val="18"/>
        <w:szCs w:val="18"/>
      </w:rPr>
      <w:t xml:space="preserve">OPENJUDGMENT: A COMPLETE VISION  </w:t>
    </w:r>
    <w:r>
      <w:rPr>
        <w:rFonts w:ascii="Arial" w:cs="Arial" w:eastAsia="Arial" w:hAnsi="Arial"/>
        <w:i/>
        <w:iCs/>
        <w:color w:val="888888"/>
        <w:sz w:val="18"/>
        <w:szCs w:val="18"/>
      </w:rPr>
      <w:t xml:space="preserve">CONFIDENTIAL WORKING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E3A5F"/>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2E6DAD"/>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E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2026-03-06T23:43:41.072Z</dcterms:created>
  <dcterms:modified xsi:type="dcterms:W3CDTF">2026-03-06T23:43:41.072Z</dcterms:modified>
</cp:coreProperties>
</file>

<file path=docProps/custom.xml><?xml version="1.0" encoding="utf-8"?>
<Properties xmlns="http://schemas.openxmlformats.org/officeDocument/2006/custom-properties" xmlns:vt="http://schemas.openxmlformats.org/officeDocument/2006/docPropsVTypes"/>
</file>